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222222"/>
          <w:highlight w:val="white"/>
        </w:rPr>
      </w:pPr>
      <w:r w:rsidDel="00000000" w:rsidR="00000000" w:rsidRPr="00000000">
        <w:rPr>
          <w:rtl w:val="0"/>
        </w:rPr>
      </w:r>
    </w:p>
    <w:p w:rsidR="00000000" w:rsidDel="00000000" w:rsidP="00000000" w:rsidRDefault="00000000" w:rsidRPr="00000000" w14:paraId="00000002">
      <w:pPr>
        <w:rPr>
          <w:color w:val="222222"/>
          <w:highlight w:val="white"/>
        </w:rPr>
      </w:pPr>
      <w:r w:rsidDel="00000000" w:rsidR="00000000" w:rsidRPr="00000000">
        <w:rPr>
          <w:rtl w:val="0"/>
        </w:rPr>
      </w:r>
    </w:p>
    <w:p w:rsidR="00000000" w:rsidDel="00000000" w:rsidP="00000000" w:rsidRDefault="00000000" w:rsidRPr="00000000" w14:paraId="00000003">
      <w:pPr>
        <w:rPr>
          <w:color w:val="222222"/>
          <w:highlight w:val="white"/>
        </w:rPr>
      </w:pPr>
      <w:r w:rsidDel="00000000" w:rsidR="00000000" w:rsidRPr="00000000">
        <w:rPr>
          <w:rtl w:val="0"/>
        </w:rPr>
      </w:r>
    </w:p>
    <w:p w:rsidR="00000000" w:rsidDel="00000000" w:rsidP="00000000" w:rsidRDefault="00000000" w:rsidRPr="00000000" w14:paraId="00000004">
      <w:pPr>
        <w:rPr>
          <w:color w:val="222222"/>
          <w:highlight w:val="white"/>
        </w:rPr>
      </w:pPr>
      <w:r w:rsidDel="00000000" w:rsidR="00000000" w:rsidRPr="00000000">
        <w:rPr>
          <w:rtl w:val="0"/>
        </w:rPr>
      </w:r>
    </w:p>
    <w:p w:rsidR="00000000" w:rsidDel="00000000" w:rsidP="00000000" w:rsidRDefault="00000000" w:rsidRPr="00000000" w14:paraId="00000005">
      <w:pPr>
        <w:rPr>
          <w:color w:val="222222"/>
          <w:highlight w:val="white"/>
        </w:rPr>
      </w:pPr>
      <w:r w:rsidDel="00000000" w:rsidR="00000000" w:rsidRPr="00000000">
        <w:rPr>
          <w:rtl w:val="0"/>
        </w:rPr>
      </w:r>
    </w:p>
    <w:p w:rsidR="00000000" w:rsidDel="00000000" w:rsidP="00000000" w:rsidRDefault="00000000" w:rsidRPr="00000000" w14:paraId="00000006">
      <w:pPr>
        <w:rPr>
          <w:color w:val="222222"/>
          <w:highlight w:val="white"/>
        </w:rPr>
      </w:pPr>
      <w:r w:rsidDel="00000000" w:rsidR="00000000" w:rsidRPr="00000000">
        <w:rPr>
          <w:rtl w:val="0"/>
        </w:rPr>
      </w:r>
    </w:p>
    <w:p w:rsidR="00000000" w:rsidDel="00000000" w:rsidP="00000000" w:rsidRDefault="00000000" w:rsidRPr="00000000" w14:paraId="00000007">
      <w:pPr>
        <w:rPr>
          <w:color w:val="222222"/>
          <w:highlight w:val="white"/>
        </w:rPr>
      </w:pPr>
      <w:r w:rsidDel="00000000" w:rsidR="00000000" w:rsidRPr="00000000">
        <w:rPr>
          <w:rtl w:val="0"/>
        </w:rPr>
      </w:r>
    </w:p>
    <w:p w:rsidR="00000000" w:rsidDel="00000000" w:rsidP="00000000" w:rsidRDefault="00000000" w:rsidRPr="00000000" w14:paraId="00000008">
      <w:pPr>
        <w:spacing w:line="276" w:lineRule="auto"/>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Press Release</w:t>
      </w:r>
    </w:p>
    <w:p w:rsidR="00000000" w:rsidDel="00000000" w:rsidP="00000000" w:rsidRDefault="00000000" w:rsidRPr="00000000" w14:paraId="00000009">
      <w:pPr>
        <w:spacing w:line="276" w:lineRule="auto"/>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August 2025 </w:t>
      </w:r>
    </w:p>
    <w:p w:rsidR="00000000" w:rsidDel="00000000" w:rsidP="00000000" w:rsidRDefault="00000000" w:rsidRPr="00000000" w14:paraId="0000000A">
      <w:pPr>
        <w:spacing w:line="276" w:lineRule="auto"/>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B">
      <w:pPr>
        <w:spacing w:line="276" w:lineRule="auto"/>
        <w:rPr>
          <w:rFonts w:ascii="Poppins" w:cs="Poppins" w:eastAsia="Poppins" w:hAnsi="Poppins"/>
          <w:b w:val="1"/>
          <w:sz w:val="40"/>
          <w:szCs w:val="40"/>
        </w:rPr>
      </w:pPr>
      <w:r w:rsidDel="00000000" w:rsidR="00000000" w:rsidRPr="00000000">
        <w:rPr>
          <w:rFonts w:ascii="Poppins" w:cs="Poppins" w:eastAsia="Poppins" w:hAnsi="Poppins"/>
          <w:b w:val="1"/>
          <w:sz w:val="40"/>
          <w:szCs w:val="40"/>
          <w:rtl w:val="0"/>
        </w:rPr>
        <w:t xml:space="preserve">Vision and Logitech Team Up to Simplify Microsoft Teams Room Installations</w:t>
      </w:r>
    </w:p>
    <w:p w:rsidR="00000000" w:rsidDel="00000000" w:rsidP="00000000" w:rsidRDefault="00000000" w:rsidRPr="00000000" w14:paraId="0000000C">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Vision Audio Visual, a leading manufacturer of professional AV accessories and a TD SYNNEX business, has announced that its flagship Express Mount has been formally approved as part of the Logitech Collaboration Program (LCP). </w:t>
      </w:r>
    </w:p>
    <w:p w:rsidR="00000000" w:rsidDel="00000000" w:rsidP="00000000" w:rsidRDefault="00000000" w:rsidRPr="00000000" w14:paraId="0000000D">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The approval recognises the Express Mount as fully compatible with Logitech’s portfolio of Microsoft Teams Room solutions, including the Rally Bar, Rally Bar Mini, and MeetUp, offering integrators a trusted mounting solution that delivers speed and simplicity for desktop VC deployments. </w:t>
      </w:r>
    </w:p>
    <w:p w:rsidR="00000000" w:rsidDel="00000000" w:rsidP="00000000" w:rsidRDefault="00000000" w:rsidRPr="00000000" w14:paraId="0000000E">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Stuart Lockhart, Managing Director at Vision, said:</w:t>
      </w:r>
    </w:p>
    <w:p w:rsidR="00000000" w:rsidDel="00000000" w:rsidP="00000000" w:rsidRDefault="00000000" w:rsidRPr="00000000" w14:paraId="0000000F">
      <w:pPr>
        <w:spacing w:after="240" w:before="240" w:line="276" w:lineRule="auto"/>
        <w:ind w:right="600"/>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“We designed the Express Mount to remove friction from the install process, no faff, no fiddling, just fast and reliable hardware that works. Microsoft is looking to democratise the meeting room with Express Rooms available for all kinds of end users. Logitech’s official endorsement gives our partners further assurance that it’s ready to go, straight out of the box.”</w:t>
      </w:r>
    </w:p>
    <w:p w:rsidR="00000000" w:rsidDel="00000000" w:rsidP="00000000" w:rsidRDefault="00000000" w:rsidRPr="00000000" w14:paraId="00000010">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The Vision Express Mount is engineered for rapid installation with support for 43”–65” displays and full VESA compatibility (200x200 to 600x400). Designed with installer-friendly features such as easy device adjustment, secure fixing, and integrated cable management, it’s built for today’s fast-paced meeting room rollouts.</w:t>
      </w:r>
    </w:p>
    <w:p w:rsidR="00000000" w:rsidDel="00000000" w:rsidP="00000000" w:rsidRDefault="00000000" w:rsidRPr="00000000" w14:paraId="00000011">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As a new LCP Alliance Partner, Vision now features within Logitech’s integration ecosystem. This marks a key milestone in Vision’s ongoing mission to streamline meeting room deployments across the channel, making it easier for partners to specify and install unified communications solutions with total confidence.</w:t>
      </w:r>
    </w:p>
    <w:p w:rsidR="00000000" w:rsidDel="00000000" w:rsidP="00000000" w:rsidRDefault="00000000" w:rsidRPr="00000000" w14:paraId="00000012">
      <w:pPr>
        <w:spacing w:after="240" w:before="240"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3">
      <w:pPr>
        <w:spacing w:after="240" w:before="240"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4">
      <w:pPr>
        <w:spacing w:after="240" w:before="240"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5">
      <w:pPr>
        <w:spacing w:after="240" w:before="240"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6">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As part of its inclusion in the Logitech Partner Portal, integrators now have direct access to installation documentation, configuration diagrams, and compatibility guidelines, simplifying everything from planning through to delivery.</w:t>
      </w:r>
    </w:p>
    <w:p w:rsidR="00000000" w:rsidDel="00000000" w:rsidP="00000000" w:rsidRDefault="00000000" w:rsidRPr="00000000" w14:paraId="00000017">
      <w:pPr>
        <w:spacing w:after="240" w:before="240"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Now available across Europe exclusively through TD SYNNEX Maverick, the Vision Express Mount is backed by Vision’s renowned lifetime warranty, reinforcing its commitment to long-term value, technical quality, and installer-first innovation.</w:t>
      </w:r>
    </w:p>
    <w:p w:rsidR="00000000" w:rsidDel="00000000" w:rsidP="00000000" w:rsidRDefault="00000000" w:rsidRPr="00000000" w14:paraId="00000018">
      <w:pPr>
        <w:spacing w:after="240" w:before="240" w:line="276" w:lineRule="auto"/>
        <w:rPr>
          <w:rFonts w:ascii="Poppins" w:cs="Poppins" w:eastAsia="Poppins" w:hAnsi="Poppins"/>
          <w:color w:val="1155cc"/>
          <w:sz w:val="20"/>
          <w:szCs w:val="20"/>
          <w:u w:val="single"/>
        </w:rPr>
      </w:pPr>
      <w:r w:rsidDel="00000000" w:rsidR="00000000" w:rsidRPr="00000000">
        <w:rPr>
          <w:rFonts w:ascii="Poppins" w:cs="Poppins" w:eastAsia="Poppins" w:hAnsi="Poppins"/>
          <w:sz w:val="20"/>
          <w:szCs w:val="20"/>
          <w:rtl w:val="0"/>
        </w:rPr>
        <w:t xml:space="preserve">🔗</w:t>
      </w:r>
      <w:hyperlink r:id="rId6">
        <w:r w:rsidDel="00000000" w:rsidR="00000000" w:rsidRPr="00000000">
          <w:rPr>
            <w:rFonts w:ascii="Poppins" w:cs="Poppins" w:eastAsia="Poppins" w:hAnsi="Poppins"/>
            <w:sz w:val="20"/>
            <w:szCs w:val="20"/>
            <w:rtl w:val="0"/>
          </w:rPr>
          <w:t xml:space="preserve"> </w:t>
        </w:r>
      </w:hyperlink>
      <w:hyperlink r:id="rId7">
        <w:r w:rsidDel="00000000" w:rsidR="00000000" w:rsidRPr="00000000">
          <w:rPr>
            <w:rFonts w:ascii="Poppins" w:cs="Poppins" w:eastAsia="Poppins" w:hAnsi="Poppins"/>
            <w:color w:val="1155cc"/>
            <w:sz w:val="20"/>
            <w:szCs w:val="20"/>
            <w:u w:val="single"/>
            <w:rtl w:val="0"/>
          </w:rPr>
          <w:t xml:space="preserve">Learn more about the Express Mount here</w:t>
        </w:r>
      </w:hyperlink>
      <w:r w:rsidDel="00000000" w:rsidR="00000000" w:rsidRPr="00000000">
        <w:rPr>
          <w:rtl w:val="0"/>
        </w:rPr>
      </w:r>
    </w:p>
    <w:p w:rsidR="00000000" w:rsidDel="00000000" w:rsidP="00000000" w:rsidRDefault="00000000" w:rsidRPr="00000000" w14:paraId="00000019">
      <w:pPr>
        <w:spacing w:after="240" w:before="240" w:line="276" w:lineRule="auto"/>
        <w:rPr>
          <w:rFonts w:ascii="Poppins" w:cs="Poppins" w:eastAsia="Poppins" w:hAnsi="Poppins"/>
          <w:b w:val="1"/>
          <w:sz w:val="20"/>
          <w:szCs w:val="20"/>
        </w:rPr>
      </w:pPr>
      <w:r w:rsidDel="00000000" w:rsidR="00000000" w:rsidRPr="00000000">
        <w:rPr>
          <w:rFonts w:ascii="Poppins" w:cs="Poppins" w:eastAsia="Poppins" w:hAnsi="Poppins"/>
          <w:b w:val="1"/>
          <w:sz w:val="20"/>
          <w:szCs w:val="20"/>
          <w:rtl w:val="0"/>
        </w:rPr>
        <w:t xml:space="preserve">ENDS</w:t>
      </w:r>
    </w:p>
    <w:p w:rsidR="00000000" w:rsidDel="00000000" w:rsidP="00000000" w:rsidRDefault="00000000" w:rsidRPr="00000000" w14:paraId="0000001A">
      <w:pPr>
        <w:spacing w:after="160" w:before="240" w:line="259" w:lineRule="auto"/>
        <w:rPr>
          <w:rFonts w:ascii="Poppins" w:cs="Poppins" w:eastAsia="Poppins" w:hAnsi="Poppins"/>
          <w:b w:val="1"/>
          <w:sz w:val="20"/>
          <w:szCs w:val="20"/>
        </w:rPr>
      </w:pPr>
      <w:r w:rsidDel="00000000" w:rsidR="00000000" w:rsidRPr="00000000">
        <w:rPr>
          <w:rFonts w:ascii="Poppins" w:cs="Poppins" w:eastAsia="Poppins" w:hAnsi="Poppins"/>
          <w:b w:val="1"/>
          <w:sz w:val="20"/>
          <w:szCs w:val="20"/>
          <w:rtl w:val="0"/>
        </w:rPr>
        <w:t xml:space="preserve">Media Contact:</w:t>
      </w:r>
    </w:p>
    <w:p w:rsidR="00000000" w:rsidDel="00000000" w:rsidP="00000000" w:rsidRDefault="00000000" w:rsidRPr="00000000" w14:paraId="0000001B">
      <w:pPr>
        <w:spacing w:after="160" w:before="240" w:line="259"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Abbey Mellor, Plaster Creative Communications, 07435 444361, E: </w:t>
      </w:r>
      <w:hyperlink r:id="rId8">
        <w:r w:rsidDel="00000000" w:rsidR="00000000" w:rsidRPr="00000000">
          <w:rPr>
            <w:rFonts w:ascii="Poppins" w:cs="Poppins" w:eastAsia="Poppins" w:hAnsi="Poppins"/>
            <w:color w:val="1155cc"/>
            <w:sz w:val="20"/>
            <w:szCs w:val="20"/>
            <w:u w:val="single"/>
            <w:rtl w:val="0"/>
          </w:rPr>
          <w:t xml:space="preserve">abbey@weareplaster.com</w:t>
        </w:r>
      </w:hyperlink>
      <w:r w:rsidDel="00000000" w:rsidR="00000000" w:rsidRPr="00000000">
        <w:rPr>
          <w:rFonts w:ascii="Poppins" w:cs="Poppins" w:eastAsia="Poppins" w:hAnsi="Poppins"/>
          <w:sz w:val="20"/>
          <w:szCs w:val="20"/>
          <w:rtl w:val="0"/>
        </w:rPr>
        <w:t xml:space="preserve"> </w:t>
      </w:r>
    </w:p>
    <w:p w:rsidR="00000000" w:rsidDel="00000000" w:rsidP="00000000" w:rsidRDefault="00000000" w:rsidRPr="00000000" w14:paraId="0000001C">
      <w:pPr>
        <w:spacing w:after="160" w:before="240" w:line="259"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Kellie Hasbury, Plaster Creative Communications, 0117 953 0320, E: </w:t>
      </w:r>
      <w:hyperlink r:id="rId9">
        <w:r w:rsidDel="00000000" w:rsidR="00000000" w:rsidRPr="00000000">
          <w:rPr>
            <w:rFonts w:ascii="Poppins" w:cs="Poppins" w:eastAsia="Poppins" w:hAnsi="Poppins"/>
            <w:color w:val="1155cc"/>
            <w:sz w:val="20"/>
            <w:szCs w:val="20"/>
            <w:u w:val="single"/>
            <w:rtl w:val="0"/>
          </w:rPr>
          <w:t xml:space="preserve">kellie@weareplaster.com</w:t>
        </w:r>
      </w:hyperlink>
      <w:r w:rsidDel="00000000" w:rsidR="00000000" w:rsidRPr="00000000">
        <w:rPr>
          <w:rtl w:val="0"/>
        </w:rPr>
      </w:r>
    </w:p>
    <w:p w:rsidR="00000000" w:rsidDel="00000000" w:rsidP="00000000" w:rsidRDefault="00000000" w:rsidRPr="00000000" w14:paraId="0000001D">
      <w:pPr>
        <w:spacing w:after="160" w:before="120" w:line="259" w:lineRule="auto"/>
        <w:rPr>
          <w:rFonts w:ascii="Poppins" w:cs="Poppins" w:eastAsia="Poppins" w:hAnsi="Poppins"/>
          <w:b w:val="1"/>
          <w:sz w:val="20"/>
          <w:szCs w:val="20"/>
        </w:rPr>
      </w:pPr>
      <w:r w:rsidDel="00000000" w:rsidR="00000000" w:rsidRPr="00000000">
        <w:rPr>
          <w:rFonts w:ascii="Poppins" w:cs="Poppins" w:eastAsia="Poppins" w:hAnsi="Poppins"/>
          <w:b w:val="1"/>
          <w:sz w:val="20"/>
          <w:szCs w:val="20"/>
          <w:rtl w:val="0"/>
        </w:rPr>
        <w:t xml:space="preserve">About Vision</w:t>
      </w:r>
    </w:p>
    <w:p w:rsidR="00000000" w:rsidDel="00000000" w:rsidP="00000000" w:rsidRDefault="00000000" w:rsidRPr="00000000" w14:paraId="0000001E">
      <w:pPr>
        <w:spacing w:after="160" w:before="240" w:line="259"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Vision designs and manufactures installation products including mounts, connectivity devices and audio that are exceptionally easy to install and so reliable, they come with a lifetime guarantee. Its products are available worldwide through a network of distributors. Vision is a TD SYNNEX business. </w:t>
      </w:r>
      <w:hyperlink r:id="rId10">
        <w:r w:rsidDel="00000000" w:rsidR="00000000" w:rsidRPr="00000000">
          <w:rPr>
            <w:rFonts w:ascii="Poppins" w:cs="Poppins" w:eastAsia="Poppins" w:hAnsi="Poppins"/>
            <w:color w:val="0563c1"/>
            <w:sz w:val="20"/>
            <w:szCs w:val="20"/>
            <w:u w:val="single"/>
            <w:rtl w:val="0"/>
          </w:rPr>
          <w:t xml:space="preserve">https://visionaudiovisual.com</w:t>
        </w:r>
      </w:hyperlink>
      <w:r w:rsidDel="00000000" w:rsidR="00000000" w:rsidRPr="00000000">
        <w:rPr>
          <w:rtl w:val="0"/>
        </w:rPr>
      </w:r>
    </w:p>
    <w:p w:rsidR="00000000" w:rsidDel="00000000" w:rsidP="00000000" w:rsidRDefault="00000000" w:rsidRPr="00000000" w14:paraId="0000001F">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20">
      <w:pPr>
        <w:rPr>
          <w:color w:val="222222"/>
          <w:highlight w:val="white"/>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-958686</wp:posOffset>
          </wp:positionH>
          <wp:positionV relativeFrom="paragraph">
            <wp:posOffset>-457199</wp:posOffset>
          </wp:positionV>
          <wp:extent cx="7648575" cy="1914525"/>
          <wp:effectExtent b="0" l="0" r="0" t="0"/>
          <wp:wrapNone/>
          <wp:docPr descr="A picture containing shape&#10;&#10;Description automatically generated" id="1" name="image1.png"/>
          <a:graphic>
            <a:graphicData uri="http://schemas.openxmlformats.org/drawingml/2006/picture">
              <pic:pic>
                <pic:nvPicPr>
                  <pic:cNvPr descr="A picture containing shape&#10;&#10;Description automatically generated" id="0" name="image1.png"/>
                  <pic:cNvPicPr preferRelativeResize="0"/>
                </pic:nvPicPr>
                <pic:blipFill>
                  <a:blip r:embed="rId1"/>
                  <a:srcRect b="0" l="0" r="0" t="0"/>
                  <a:stretch>
                    <a:fillRect/>
                  </a:stretch>
                </pic:blipFill>
                <pic:spPr>
                  <a:xfrm>
                    <a:off x="0" y="0"/>
                    <a:ext cx="7648575" cy="19145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visionaudiovisual.com" TargetMode="External"/><Relationship Id="rId9" Type="http://schemas.openxmlformats.org/officeDocument/2006/relationships/hyperlink" Target="mailto:kellie@weareplaster.com" TargetMode="External"/><Relationship Id="rId5" Type="http://schemas.openxmlformats.org/officeDocument/2006/relationships/styles" Target="styles.xml"/><Relationship Id="rId6" Type="http://schemas.openxmlformats.org/officeDocument/2006/relationships/hyperlink" Target="https://visionaudiovisual.com/en/product/vfm-dsxp" TargetMode="External"/><Relationship Id="rId7" Type="http://schemas.openxmlformats.org/officeDocument/2006/relationships/hyperlink" Target="https://visionaudiovisual.com/en/product/vfm-dsxp" TargetMode="External"/><Relationship Id="rId8" Type="http://schemas.openxmlformats.org/officeDocument/2006/relationships/hyperlink" Target="mailto:abbey@weareplast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